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7CAA" w14:textId="6335CB03" w:rsidR="004F7AEB" w:rsidRDefault="00EB4E85" w:rsidP="00EB4E85">
      <w:pPr>
        <w:jc w:val="center"/>
        <w:rPr>
          <w:b/>
          <w:bCs/>
        </w:rPr>
      </w:pPr>
      <w:r>
        <w:rPr>
          <w:b/>
          <w:bCs/>
        </w:rPr>
        <w:t xml:space="preserve">Ficha N°2: Presentación (en Metodologías de </w:t>
      </w:r>
      <w:commentRangeStart w:id="0"/>
      <w:r>
        <w:rPr>
          <w:b/>
          <w:bCs/>
        </w:rPr>
        <w:t>investigación social)–Manuel Canales</w:t>
      </w:r>
      <w:commentRangeEnd w:id="0"/>
      <w:r w:rsidR="000562CE">
        <w:rPr>
          <w:rStyle w:val="Refdecomentario"/>
        </w:rPr>
        <w:commentReference w:id="0"/>
      </w:r>
    </w:p>
    <w:p w14:paraId="21BA14B3" w14:textId="7AB8CC00" w:rsidR="00EB4E85" w:rsidRDefault="00EB4E85" w:rsidP="00EB4E85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B4E85" w14:paraId="3469302D" w14:textId="77777777" w:rsidTr="00EB4E85">
        <w:tc>
          <w:tcPr>
            <w:tcW w:w="9350" w:type="dxa"/>
            <w:shd w:val="clear" w:color="auto" w:fill="BDD6EE" w:themeFill="accent5" w:themeFillTint="66"/>
          </w:tcPr>
          <w:p w14:paraId="504CFBEA" w14:textId="3F14FCDA" w:rsidR="00EB4E85" w:rsidRDefault="000C7DBB" w:rsidP="002A7913">
            <w:pPr>
              <w:ind w:left="36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Referencia bibliográfica</w:t>
            </w:r>
          </w:p>
        </w:tc>
      </w:tr>
      <w:tr w:rsidR="00EB4E85" w14:paraId="784D50AB" w14:textId="77777777" w:rsidTr="000C7DBB">
        <w:tc>
          <w:tcPr>
            <w:tcW w:w="9350" w:type="dxa"/>
            <w:vAlign w:val="center"/>
          </w:tcPr>
          <w:p w14:paraId="426A04F7" w14:textId="4D786334" w:rsidR="00EB4E85" w:rsidRPr="000C7DBB" w:rsidRDefault="000C7DBB" w:rsidP="00E045D0">
            <w:pPr>
              <w:spacing w:before="120" w:after="120" w:line="276" w:lineRule="auto"/>
              <w:jc w:val="both"/>
            </w:pPr>
            <w:r>
              <w:t xml:space="preserve">Canales, M. (2006). Presentación. En M. Canales (ed.) </w:t>
            </w:r>
            <w:r w:rsidRPr="000C7DBB">
              <w:rPr>
                <w:i/>
                <w:iCs/>
              </w:rPr>
              <w:t>Metodologías de investigación social. Introducción a los oficios</w:t>
            </w:r>
            <w:r>
              <w:t xml:space="preserve"> (pp. 11-30). LOM.</w:t>
            </w:r>
          </w:p>
        </w:tc>
      </w:tr>
    </w:tbl>
    <w:p w14:paraId="1E7705F3" w14:textId="4B809FF8" w:rsidR="00EB4E85" w:rsidRDefault="00EB4E85" w:rsidP="00EB4E85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B4E85" w14:paraId="29E12EB3" w14:textId="77777777" w:rsidTr="000C7DBB">
        <w:tc>
          <w:tcPr>
            <w:tcW w:w="9350" w:type="dxa"/>
            <w:shd w:val="clear" w:color="auto" w:fill="BDD6EE" w:themeFill="accent5" w:themeFillTint="66"/>
          </w:tcPr>
          <w:p w14:paraId="2B886040" w14:textId="30EFD833" w:rsidR="00EB4E85" w:rsidRDefault="000C7DBB" w:rsidP="002A7913">
            <w:pPr>
              <w:ind w:left="36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Palabras clave</w:t>
            </w:r>
          </w:p>
        </w:tc>
      </w:tr>
      <w:tr w:rsidR="00EB4E85" w14:paraId="4EF6CF6A" w14:textId="77777777" w:rsidTr="00EB4E85">
        <w:tc>
          <w:tcPr>
            <w:tcW w:w="9350" w:type="dxa"/>
          </w:tcPr>
          <w:p w14:paraId="3EC96364" w14:textId="23F69843" w:rsidR="00EB4E85" w:rsidRPr="006D3B9A" w:rsidRDefault="006D3B9A" w:rsidP="00E045D0">
            <w:pPr>
              <w:spacing w:before="120" w:after="120" w:line="276" w:lineRule="auto"/>
              <w:jc w:val="both"/>
            </w:pPr>
            <w:r>
              <w:t xml:space="preserve">Método; </w:t>
            </w:r>
            <w:r w:rsidR="002D5E5B">
              <w:t>Enfoque cualitativo; Enfoque cuantitativo; Enfoque</w:t>
            </w:r>
            <w:r w:rsidR="00645355">
              <w:t xml:space="preserve"> dialéctico</w:t>
            </w:r>
            <w:r w:rsidR="0040535A">
              <w:t>.</w:t>
            </w:r>
          </w:p>
        </w:tc>
      </w:tr>
    </w:tbl>
    <w:p w14:paraId="5F8BCAE7" w14:textId="77777777" w:rsidR="0042218F" w:rsidRDefault="0042218F" w:rsidP="00EB4E85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B4E85" w14:paraId="487941F1" w14:textId="77777777" w:rsidTr="000C7DBB">
        <w:tc>
          <w:tcPr>
            <w:tcW w:w="9350" w:type="dxa"/>
            <w:shd w:val="clear" w:color="auto" w:fill="BDD6EE" w:themeFill="accent5" w:themeFillTint="66"/>
          </w:tcPr>
          <w:p w14:paraId="33B1D65B" w14:textId="3E3830F0" w:rsidR="00EB4E85" w:rsidRDefault="000C7DBB" w:rsidP="002A7913">
            <w:pPr>
              <w:ind w:left="36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Síntesis</w:t>
            </w:r>
          </w:p>
        </w:tc>
      </w:tr>
      <w:tr w:rsidR="00EB4E85" w14:paraId="2AF47B2F" w14:textId="77777777" w:rsidTr="00EB4E85">
        <w:tc>
          <w:tcPr>
            <w:tcW w:w="9350" w:type="dxa"/>
          </w:tcPr>
          <w:p w14:paraId="3A026563" w14:textId="445AEB7E" w:rsidR="00A93C4C" w:rsidRDefault="001C57C7" w:rsidP="005E7F0E">
            <w:pPr>
              <w:spacing w:before="120" w:after="120" w:line="276" w:lineRule="auto"/>
              <w:ind w:firstLine="720"/>
              <w:jc w:val="both"/>
            </w:pPr>
            <w:r>
              <w:t xml:space="preserve">En el texto de Canales (2006) se realiza una </w:t>
            </w:r>
            <w:r w:rsidR="00471274">
              <w:t>introducción</w:t>
            </w:r>
            <w:r w:rsidR="005E7F0E">
              <w:t xml:space="preserve"> a </w:t>
            </w:r>
            <w:r w:rsidR="0040535A">
              <w:t>tres</w:t>
            </w:r>
            <w:r w:rsidR="00ED1F30">
              <w:t xml:space="preserve"> enfoques metodológicos</w:t>
            </w:r>
            <w:r w:rsidR="00471274">
              <w:t xml:space="preserve"> de investigación en </w:t>
            </w:r>
            <w:r w:rsidR="004C382B">
              <w:t>las ciencias</w:t>
            </w:r>
            <w:r w:rsidR="00471274">
              <w:t xml:space="preserve"> sociales</w:t>
            </w:r>
            <w:r w:rsidR="007B5850">
              <w:t>:</w:t>
            </w:r>
            <w:r w:rsidR="00ED1F30">
              <w:t xml:space="preserve"> </w:t>
            </w:r>
            <w:r w:rsidR="005E7F0E">
              <w:t>el</w:t>
            </w:r>
            <w:r w:rsidR="00ED1F30">
              <w:t xml:space="preserve"> </w:t>
            </w:r>
            <w:r w:rsidR="005E7F0E">
              <w:t>método</w:t>
            </w:r>
            <w:r w:rsidR="00ED1F30">
              <w:t xml:space="preserve"> cuantitativ</w:t>
            </w:r>
            <w:r w:rsidR="005E7F0E">
              <w:t>o</w:t>
            </w:r>
            <w:r w:rsidR="00ED1F30">
              <w:t>, cualitativ</w:t>
            </w:r>
            <w:r w:rsidR="005E7F0E">
              <w:t>o</w:t>
            </w:r>
            <w:r w:rsidR="00ED1F30">
              <w:t xml:space="preserve"> y</w:t>
            </w:r>
            <w:r w:rsidR="00311DBA">
              <w:t xml:space="preserve"> </w:t>
            </w:r>
            <w:r w:rsidR="007B5850">
              <w:t>dialéctic</w:t>
            </w:r>
            <w:r w:rsidR="005E7F0E">
              <w:t>o</w:t>
            </w:r>
            <w:r w:rsidR="00E80E38">
              <w:t>.</w:t>
            </w:r>
            <w:r w:rsidR="00CF68FE">
              <w:t xml:space="preserve"> </w:t>
            </w:r>
            <w:r w:rsidR="004674ED">
              <w:t xml:space="preserve">Antes de </w:t>
            </w:r>
            <w:r w:rsidR="00947FB4">
              <w:t xml:space="preserve">describir </w:t>
            </w:r>
            <w:r w:rsidR="00B64EDA">
              <w:t xml:space="preserve">las metodologías analizadas, </w:t>
            </w:r>
            <w:r w:rsidR="00947FB4">
              <w:t>Canales las diferencia</w:t>
            </w:r>
            <w:r w:rsidR="00216ADB">
              <w:t xml:space="preserve"> mediante </w:t>
            </w:r>
            <w:r w:rsidR="00B85331">
              <w:t xml:space="preserve">la </w:t>
            </w:r>
            <w:r w:rsidR="00216ADB">
              <w:t>abstracción o concreción de los enfoques</w:t>
            </w:r>
            <w:r w:rsidR="00917964">
              <w:t xml:space="preserve">; </w:t>
            </w:r>
            <w:r w:rsidR="00216ADB">
              <w:t>identificando a</w:t>
            </w:r>
            <w:r w:rsidR="003278E7">
              <w:t xml:space="preserve">l método </w:t>
            </w:r>
            <w:r w:rsidR="00645355">
              <w:t>cuantitativo como el de mayor abstracción</w:t>
            </w:r>
            <w:r w:rsidR="005E582F">
              <w:t xml:space="preserve">, </w:t>
            </w:r>
            <w:r w:rsidR="00127107">
              <w:t>a</w:t>
            </w:r>
            <w:r w:rsidR="005E582F">
              <w:t xml:space="preserve">l dialéctico/reflexivo como el de mayor concreción, y al </w:t>
            </w:r>
            <w:r w:rsidR="00127107">
              <w:t>cualitativo con abstracción y concreción por igual.</w:t>
            </w:r>
          </w:p>
          <w:p w14:paraId="38100B5B" w14:textId="3091EFEE" w:rsidR="00F70F58" w:rsidRDefault="00F70F58" w:rsidP="005A3EE4">
            <w:pPr>
              <w:spacing w:before="120" w:after="120" w:line="276" w:lineRule="auto"/>
              <w:ind w:firstLine="720"/>
              <w:jc w:val="both"/>
            </w:pPr>
            <w:r>
              <w:t xml:space="preserve">Retomando la </w:t>
            </w:r>
            <w:r w:rsidR="00471003">
              <w:t xml:space="preserve">descripción de los enfoques metodológicos, en primer lugar presenta el enfoque </w:t>
            </w:r>
            <w:r w:rsidR="00C44AE1">
              <w:t>cuantitativo</w:t>
            </w:r>
            <w:r w:rsidR="005F62F9">
              <w:t xml:space="preserve">, en el que </w:t>
            </w:r>
            <w:r w:rsidR="00541ECD">
              <w:t>se opera con números tanto en</w:t>
            </w:r>
            <w:r w:rsidR="0040194F">
              <w:t xml:space="preserve"> el instrumento como en la muestra</w:t>
            </w:r>
            <w:r w:rsidR="003E321A">
              <w:t>.</w:t>
            </w:r>
            <w:r w:rsidR="009D02AC">
              <w:t xml:space="preserve"> </w:t>
            </w:r>
            <w:r w:rsidR="00101CB2">
              <w:t>Respecto a</w:t>
            </w:r>
            <w:r w:rsidR="000419F5">
              <w:t xml:space="preserve"> los instrumentos de </w:t>
            </w:r>
            <w:r w:rsidR="009961E4">
              <w:t>éste</w:t>
            </w:r>
            <w:r w:rsidR="008C792F">
              <w:t xml:space="preserve">, </w:t>
            </w:r>
            <w:r w:rsidR="001E16D1">
              <w:t>el autor diferencia</w:t>
            </w:r>
            <w:r w:rsidR="005C4509">
              <w:t xml:space="preserve"> tres aspectos: 1) la muestra</w:t>
            </w:r>
            <w:r w:rsidR="00D9136A">
              <w:t xml:space="preserve"> estadística, a la que define como </w:t>
            </w:r>
            <w:r w:rsidR="00CE444E">
              <w:t>“una representación del conjunto social</w:t>
            </w:r>
            <w:r w:rsidR="00CC2A1E">
              <w:t xml:space="preserve"> a través de, o como «estadígrafos»</w:t>
            </w:r>
            <w:r w:rsidR="00CE444E">
              <w:t>”</w:t>
            </w:r>
            <w:r w:rsidR="00CC2A1E">
              <w:t xml:space="preserve"> (p.</w:t>
            </w:r>
            <w:r w:rsidR="00C77920">
              <w:t>1</w:t>
            </w:r>
            <w:r w:rsidR="00CC2A1E">
              <w:t>6)</w:t>
            </w:r>
            <w:r w:rsidR="00690896">
              <w:t xml:space="preserve">; </w:t>
            </w:r>
            <w:r w:rsidR="001010C0">
              <w:t xml:space="preserve">2) </w:t>
            </w:r>
            <w:r w:rsidR="00690896">
              <w:t xml:space="preserve">la escala, que son </w:t>
            </w:r>
            <w:r w:rsidR="005755DB">
              <w:t xml:space="preserve">4 </w:t>
            </w:r>
            <w:r w:rsidR="00690896">
              <w:t>formas</w:t>
            </w:r>
            <w:r w:rsidR="00D11CD5">
              <w:t xml:space="preserve"> en que se puede numerar lo social</w:t>
            </w:r>
            <w:r w:rsidR="0069606F">
              <w:t xml:space="preserve">; y </w:t>
            </w:r>
            <w:r w:rsidR="001010C0">
              <w:t xml:space="preserve">3) </w:t>
            </w:r>
            <w:r w:rsidR="0069606F">
              <w:t>la encuesta</w:t>
            </w:r>
            <w:r w:rsidR="002229A5">
              <w:t>.</w:t>
            </w:r>
          </w:p>
          <w:p w14:paraId="42051DD2" w14:textId="371328AB" w:rsidR="002229A5" w:rsidRDefault="002229A5" w:rsidP="005A3EE4">
            <w:pPr>
              <w:spacing w:before="120" w:after="120" w:line="276" w:lineRule="auto"/>
              <w:ind w:firstLine="720"/>
              <w:jc w:val="both"/>
            </w:pPr>
            <w:r>
              <w:t>En segundo lugar, el autor presenta el enfoque cualitativo.</w:t>
            </w:r>
            <w:r w:rsidR="00E74B67">
              <w:t xml:space="preserve"> Este método es exclusivo </w:t>
            </w:r>
            <w:r w:rsidR="00A036FC">
              <w:t>de la investigación social</w:t>
            </w:r>
            <w:r w:rsidR="00CF521F">
              <w:t xml:space="preserve"> y </w:t>
            </w:r>
            <w:r w:rsidR="008429BB">
              <w:t xml:space="preserve">su conocimiento </w:t>
            </w:r>
            <w:r w:rsidR="005726A9">
              <w:t>“opera como habla-investigadora, y mide su distribución como escucha-investigada” (p.20). Respecto a su</w:t>
            </w:r>
            <w:r w:rsidR="00CA7D39">
              <w:t xml:space="preserve">s instrumentos, el autor señala que éstos </w:t>
            </w:r>
            <w:r w:rsidR="00FC4BF8">
              <w:t xml:space="preserve">tienden a la apertura hacia sus investigados, por lo que no se rigen por </w:t>
            </w:r>
            <w:r w:rsidR="00053A80">
              <w:t>cuestionarios en general</w:t>
            </w:r>
            <w:r w:rsidR="004945EB">
              <w:t xml:space="preserve">, mas siguen señalados por el autor </w:t>
            </w:r>
            <w:r w:rsidR="0001799B">
              <w:t xml:space="preserve">como un tipo de instrumento de </w:t>
            </w:r>
            <w:r w:rsidR="002742D3">
              <w:t>esta</w:t>
            </w:r>
            <w:r w:rsidR="00921775">
              <w:t xml:space="preserve"> metodología, junto con las autobiografías</w:t>
            </w:r>
            <w:r w:rsidR="00DE4C30">
              <w:t>, los testimonios y los grupos de discusión.</w:t>
            </w:r>
            <w:r w:rsidR="00D96FA3">
              <w:t xml:space="preserve"> </w:t>
            </w:r>
            <w:r w:rsidR="00C77920">
              <w:t>R</w:t>
            </w:r>
            <w:r w:rsidR="00D96FA3">
              <w:t>especto</w:t>
            </w:r>
            <w:r w:rsidR="00C77920">
              <w:t xml:space="preserve"> a </w:t>
            </w:r>
            <w:r w:rsidR="002742D3">
              <w:t xml:space="preserve">su </w:t>
            </w:r>
            <w:r w:rsidR="00C77920">
              <w:t>muestra</w:t>
            </w:r>
            <w:r w:rsidR="00887F92">
              <w:t xml:space="preserve">, los participantes </w:t>
            </w:r>
            <w:r w:rsidR="00422367">
              <w:t xml:space="preserve">representan </w:t>
            </w:r>
            <w:r w:rsidR="00C71DEF">
              <w:t xml:space="preserve">a </w:t>
            </w:r>
            <w:r w:rsidR="00422367">
              <w:t>una categoría social</w:t>
            </w:r>
            <w:r w:rsidR="002C15B5">
              <w:t>.</w:t>
            </w:r>
          </w:p>
          <w:p w14:paraId="7E1837C5" w14:textId="77777777" w:rsidR="002C15B5" w:rsidRDefault="002C15B5" w:rsidP="005A3EE4">
            <w:pPr>
              <w:spacing w:before="120" w:after="120" w:line="276" w:lineRule="auto"/>
              <w:ind w:firstLine="720"/>
              <w:jc w:val="both"/>
            </w:pPr>
            <w:r>
              <w:t xml:space="preserve">Finalmente, el </w:t>
            </w:r>
            <w:r w:rsidR="00314995">
              <w:t>autor presenta el enfoque dialéctico/reflexivo</w:t>
            </w:r>
            <w:r w:rsidR="001C3122">
              <w:t xml:space="preserve">, en el que se </w:t>
            </w:r>
            <w:r w:rsidR="00B13B9B">
              <w:t xml:space="preserve">aplana la separación entre </w:t>
            </w:r>
            <w:r w:rsidR="0075676A">
              <w:t>investigador e investigado.</w:t>
            </w:r>
            <w:r w:rsidR="0093493F">
              <w:t xml:space="preserve"> Los participantes </w:t>
            </w:r>
            <w:r w:rsidR="00E14487">
              <w:t>en esta metodología</w:t>
            </w:r>
            <w:r w:rsidR="006A410A">
              <w:t xml:space="preserve"> investigan su propia realidad analizándola</w:t>
            </w:r>
            <w:r w:rsidR="00131E54">
              <w:t xml:space="preserve"> y no sólo reproduciéndola como en la</w:t>
            </w:r>
            <w:r w:rsidR="00947D53">
              <w:t>s</w:t>
            </w:r>
            <w:r w:rsidR="00131E54">
              <w:t xml:space="preserve"> instancias anteriores</w:t>
            </w:r>
            <w:r w:rsidR="00947D53">
              <w:t>.</w:t>
            </w:r>
            <w:r w:rsidR="009C5BCB">
              <w:t xml:space="preserve"> En lugar de esa dinámica investigador-investigado de las metodologías cualitativas y cuantitativas</w:t>
            </w:r>
            <w:r w:rsidR="00DC40CA">
              <w:t xml:space="preserve"> “se constituye un observador en su acción, que sistematiza </w:t>
            </w:r>
            <w:r w:rsidR="00BB0F24">
              <w:t>o analiza sus prácticas para generar nuevas prácticas” (p.24).</w:t>
            </w:r>
          </w:p>
          <w:p w14:paraId="6EE38F11" w14:textId="0409914F" w:rsidR="000562CE" w:rsidRPr="000C3BCC" w:rsidRDefault="000562CE" w:rsidP="005A3EE4">
            <w:pPr>
              <w:spacing w:before="120" w:after="120" w:line="276" w:lineRule="auto"/>
              <w:ind w:firstLine="720"/>
              <w:jc w:val="both"/>
            </w:pPr>
          </w:p>
        </w:tc>
      </w:tr>
    </w:tbl>
    <w:p w14:paraId="6E1A38BE" w14:textId="0026853B" w:rsidR="00EB4E85" w:rsidRDefault="00EB4E85" w:rsidP="00EB4E85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B4E85" w14:paraId="16993996" w14:textId="77777777" w:rsidTr="000C7DBB">
        <w:tc>
          <w:tcPr>
            <w:tcW w:w="9350" w:type="dxa"/>
            <w:shd w:val="clear" w:color="auto" w:fill="BDD6EE" w:themeFill="accent5" w:themeFillTint="66"/>
          </w:tcPr>
          <w:p w14:paraId="55ED95D0" w14:textId="73CDE72A" w:rsidR="00EB4E85" w:rsidRPr="000837E3" w:rsidRDefault="000C7DBB" w:rsidP="001A5A5C">
            <w:pPr>
              <w:pStyle w:val="Textoindependiente"/>
              <w:spacing w:line="271" w:lineRule="auto"/>
              <w:ind w:left="363" w:right="363" w:firstLine="13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C7D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Comentario:</w:t>
            </w:r>
            <w:r w:rsidR="000837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0C7DBB">
              <w:rPr>
                <w:rFonts w:ascii="Times New Roman" w:hAnsi="Times New Roman" w:cs="Times New Roman"/>
                <w:color w:val="000000" w:themeColor="text1"/>
              </w:rPr>
              <w:t>¿Cuáles</w:t>
            </w:r>
            <w:r w:rsidRPr="000C7DBB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son las diferencias principales entre los tres métodos</w:t>
            </w:r>
            <w:r w:rsidR="0039692A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 </w:t>
            </w:r>
            <w:r w:rsidRPr="000C7DBB">
              <w:rPr>
                <w:rFonts w:ascii="Times New Roman" w:hAnsi="Times New Roman" w:cs="Times New Roman"/>
                <w:color w:val="000000" w:themeColor="text1"/>
                <w:spacing w:val="1"/>
              </w:rPr>
              <w:t xml:space="preserve">propuestos </w:t>
            </w:r>
            <w:r w:rsidRPr="000C7DBB">
              <w:rPr>
                <w:rFonts w:ascii="Times New Roman" w:hAnsi="Times New Roman" w:cs="Times New Roman"/>
                <w:color w:val="000000" w:themeColor="text1"/>
                <w:spacing w:val="1"/>
              </w:rPr>
              <w:lastRenderedPageBreak/>
              <w:t>por el autor</w:t>
            </w:r>
            <w:r w:rsidRPr="000C7DBB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</w:tr>
      <w:tr w:rsidR="00EB4E85" w14:paraId="15B0A2C2" w14:textId="77777777" w:rsidTr="00EB4E85">
        <w:tc>
          <w:tcPr>
            <w:tcW w:w="9350" w:type="dxa"/>
          </w:tcPr>
          <w:p w14:paraId="4522F1D9" w14:textId="357D47CA" w:rsidR="00B34397" w:rsidRDefault="00A41B68" w:rsidP="005A3EE4">
            <w:pPr>
              <w:spacing w:before="120" w:after="120" w:line="276" w:lineRule="auto"/>
              <w:ind w:firstLine="720"/>
              <w:jc w:val="both"/>
            </w:pPr>
            <w:r>
              <w:lastRenderedPageBreak/>
              <w:t xml:space="preserve">Canales (2006), </w:t>
            </w:r>
            <w:r w:rsidR="00F33A3A">
              <w:t>indica que los tres métodos de investigación que propone – el método cuantitativo, cualitativo y dialéctico</w:t>
            </w:r>
            <w:r w:rsidR="00A4461E">
              <w:t xml:space="preserve">– son distintos y no </w:t>
            </w:r>
            <w:r w:rsidR="00031F28">
              <w:t>traduci</w:t>
            </w:r>
            <w:r w:rsidR="00A4461E">
              <w:t>bles entre sí</w:t>
            </w:r>
            <w:r w:rsidR="0057582A">
              <w:t xml:space="preserve">. </w:t>
            </w:r>
            <w:r w:rsidR="007045FF">
              <w:t>Una de</w:t>
            </w:r>
            <w:r w:rsidR="007B493B">
              <w:t xml:space="preserve"> sus</w:t>
            </w:r>
            <w:r w:rsidR="0057582A">
              <w:t xml:space="preserve"> pri</w:t>
            </w:r>
            <w:r w:rsidR="007B493B">
              <w:t>ncipales</w:t>
            </w:r>
            <w:r w:rsidR="0057582A">
              <w:t xml:space="preserve"> diferencia</w:t>
            </w:r>
            <w:r w:rsidR="007B493B">
              <w:t xml:space="preserve">s </w:t>
            </w:r>
            <w:r w:rsidR="0057582A">
              <w:t xml:space="preserve"> corresponde al nivel de abstracción o concreción que poseen</w:t>
            </w:r>
            <w:r w:rsidR="00F65F66">
              <w:t xml:space="preserve"> y su </w:t>
            </w:r>
            <w:r w:rsidR="00493F9C">
              <w:t>representaci</w:t>
            </w:r>
            <w:r w:rsidR="00F65F66">
              <w:t>ón de los individuos</w:t>
            </w:r>
            <w:r w:rsidR="00460CED">
              <w:t xml:space="preserve">. </w:t>
            </w:r>
          </w:p>
          <w:p w14:paraId="61B67DC1" w14:textId="77777777" w:rsidR="00F12A19" w:rsidRDefault="00B34397" w:rsidP="005A3EE4">
            <w:pPr>
              <w:spacing w:before="120" w:after="120" w:line="276" w:lineRule="auto"/>
              <w:ind w:firstLine="720"/>
              <w:jc w:val="both"/>
            </w:pPr>
            <w:r>
              <w:t xml:space="preserve">El </w:t>
            </w:r>
            <w:r w:rsidR="00460CED">
              <w:t>enfoque cuantitativo</w:t>
            </w:r>
            <w:r>
              <w:t xml:space="preserve"> es el que</w:t>
            </w:r>
            <w:r w:rsidR="00460CED">
              <w:t xml:space="preserve"> posee el más alto nivel de abstracción</w:t>
            </w:r>
            <w:r w:rsidR="00647800">
              <w:t>, ya que tanto como los individuos como las variables son</w:t>
            </w:r>
            <w:r w:rsidR="00734878">
              <w:t xml:space="preserve"> abstraídas de su subjetividad</w:t>
            </w:r>
            <w:r w:rsidR="007A6559">
              <w:t xml:space="preserve"> y realidad. </w:t>
            </w:r>
            <w:r w:rsidR="00230351">
              <w:t>Los individuos se convierten en «individuos-valores»</w:t>
            </w:r>
            <w:r w:rsidR="00A22C60">
              <w:t xml:space="preserve">, </w:t>
            </w:r>
            <w:r w:rsidR="001010C0">
              <w:t>la realidad está variabilizada</w:t>
            </w:r>
            <w:r w:rsidR="00863F17">
              <w:t>, se cierra al enfoque de los investigados</w:t>
            </w:r>
            <w:r w:rsidR="00A22C60">
              <w:t>.</w:t>
            </w:r>
          </w:p>
          <w:p w14:paraId="0E5F50D1" w14:textId="77777777" w:rsidR="008E4D34" w:rsidRDefault="007A6559" w:rsidP="005A3EE4">
            <w:pPr>
              <w:spacing w:before="120" w:after="120" w:line="276" w:lineRule="auto"/>
              <w:ind w:firstLine="720"/>
              <w:jc w:val="both"/>
            </w:pPr>
            <w:r>
              <w:t xml:space="preserve">El enfoque </w:t>
            </w:r>
            <w:r w:rsidR="00D76E2A">
              <w:t xml:space="preserve">cualitativo, </w:t>
            </w:r>
            <w:r w:rsidR="00F12A19">
              <w:t xml:space="preserve">que se podría considerar una igualdad entre abstracción y concreción, </w:t>
            </w:r>
            <w:r w:rsidR="00D76E2A">
              <w:t>“es menos abstracto</w:t>
            </w:r>
            <w:r w:rsidR="005A78B6">
              <w:t xml:space="preserve"> que el enfoque cuantitativo, pues integra la dimensión subjetiva</w:t>
            </w:r>
            <w:r w:rsidR="00BB3CAE">
              <w:t xml:space="preserve"> del investigado. (…)</w:t>
            </w:r>
            <w:r w:rsidR="00D356D0">
              <w:t xml:space="preserve"> Sin embargo, </w:t>
            </w:r>
            <w:r w:rsidR="002723A9">
              <w:t>es menos concreta que el enfoque reflexivo, pues el sujeto que emerge só</w:t>
            </w:r>
            <w:r w:rsidR="008479BE">
              <w:t>l</w:t>
            </w:r>
            <w:r w:rsidR="002723A9">
              <w:t>o habla</w:t>
            </w:r>
            <w:r w:rsidR="008479BE">
              <w:t xml:space="preserve"> o significa, pero no interviene</w:t>
            </w:r>
            <w:r w:rsidR="00D76E2A">
              <w:t>”</w:t>
            </w:r>
            <w:r w:rsidR="00160DED">
              <w:t xml:space="preserve"> (Canales, 2006, pp. 13-14)</w:t>
            </w:r>
            <w:r w:rsidR="00D06EA0">
              <w:t>.</w:t>
            </w:r>
          </w:p>
          <w:p w14:paraId="0F42EDFC" w14:textId="1302D4B2" w:rsidR="00EB4E85" w:rsidRPr="006356E1" w:rsidRDefault="00D06EA0" w:rsidP="005A3EE4">
            <w:pPr>
              <w:spacing w:before="120" w:after="120" w:line="276" w:lineRule="auto"/>
              <w:ind w:firstLine="720"/>
              <w:jc w:val="both"/>
            </w:pPr>
            <w:r>
              <w:t xml:space="preserve">Por último, el enfoque </w:t>
            </w:r>
            <w:r w:rsidR="00C520A9">
              <w:t>reflexivo es el con más alto nivel de concreción, ya que</w:t>
            </w:r>
            <w:r w:rsidR="00013283">
              <w:t xml:space="preserve"> los individuos </w:t>
            </w:r>
            <w:r w:rsidR="00373306">
              <w:t xml:space="preserve">continúan siendo representados como </w:t>
            </w:r>
            <w:r w:rsidR="003126C9">
              <w:t>sujetos en sus relaciones sociales.</w:t>
            </w:r>
            <w:r w:rsidR="00C92A4C">
              <w:t xml:space="preserve"> En </w:t>
            </w:r>
            <w:r w:rsidR="00302681">
              <w:t xml:space="preserve">este método, “la separación </w:t>
            </w:r>
            <w:r w:rsidR="00073A4B">
              <w:t xml:space="preserve">de observador y observado, así como la separación de </w:t>
            </w:r>
            <w:r w:rsidR="00CD2857">
              <w:t>Observador y Actor</w:t>
            </w:r>
            <w:r w:rsidR="00787537">
              <w:t xml:space="preserve">, clásicas del saber tanto cualitativo como cuantitativo, </w:t>
            </w:r>
            <w:r w:rsidR="00CD2857">
              <w:t>quedan ambas aplanadas</w:t>
            </w:r>
            <w:r w:rsidR="00302681">
              <w:t>”</w:t>
            </w:r>
            <w:r w:rsidR="00CD2857">
              <w:t xml:space="preserve"> (p. 24).</w:t>
            </w:r>
          </w:p>
        </w:tc>
      </w:tr>
    </w:tbl>
    <w:p w14:paraId="60D1E307" w14:textId="3460A785" w:rsidR="00EB4E85" w:rsidRDefault="00EB4E85" w:rsidP="00EB4E85">
      <w:pPr>
        <w:jc w:val="center"/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B4E85" w14:paraId="398CC8E9" w14:textId="77777777" w:rsidTr="000C7DBB">
        <w:tc>
          <w:tcPr>
            <w:tcW w:w="9350" w:type="dxa"/>
            <w:shd w:val="clear" w:color="auto" w:fill="BDD6EE" w:themeFill="accent5" w:themeFillTint="66"/>
          </w:tcPr>
          <w:p w14:paraId="6C3E9FFE" w14:textId="3001F734" w:rsidR="00EB4E85" w:rsidRDefault="000C7DBB" w:rsidP="00E86983">
            <w:pPr>
              <w:ind w:left="36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Citas</w:t>
            </w:r>
          </w:p>
        </w:tc>
      </w:tr>
      <w:tr w:rsidR="00EB4E85" w14:paraId="6ACB16D2" w14:textId="77777777" w:rsidTr="00EB4E85">
        <w:tc>
          <w:tcPr>
            <w:tcW w:w="9350" w:type="dxa"/>
          </w:tcPr>
          <w:p w14:paraId="40C006B9" w14:textId="77777777" w:rsidR="00087D65" w:rsidRDefault="006C0BEA" w:rsidP="00DC0628">
            <w:pPr>
              <w:pStyle w:val="Prrafodelista"/>
              <w:numPr>
                <w:ilvl w:val="0"/>
                <w:numId w:val="5"/>
              </w:numPr>
              <w:spacing w:before="120" w:after="120" w:line="276" w:lineRule="auto"/>
              <w:ind w:left="360"/>
              <w:jc w:val="both"/>
            </w:pPr>
            <w:r>
              <w:t xml:space="preserve">“Si el investigador </w:t>
            </w:r>
            <w:r w:rsidR="000075EF">
              <w:t>cuantitativo puede asignar números, el investigador cualitativo s</w:t>
            </w:r>
            <w:r w:rsidR="00A57452">
              <w:t xml:space="preserve">e </w:t>
            </w:r>
            <w:r w:rsidR="000075EF">
              <w:t>mueve en el orden</w:t>
            </w:r>
            <w:r w:rsidR="00A57452">
              <w:t xml:space="preserve"> de los significados y sus reglas de significación: los códigos</w:t>
            </w:r>
            <w:r w:rsidR="001B690E">
              <w:t xml:space="preserve"> y los documentos, o significaciones</w:t>
            </w:r>
            <w:r>
              <w:t>”</w:t>
            </w:r>
            <w:r w:rsidR="007C2D98">
              <w:t xml:space="preserve"> (Canales, 2006, p. 19)</w:t>
            </w:r>
            <w:r w:rsidR="00DC0628">
              <w:t>.</w:t>
            </w:r>
          </w:p>
          <w:p w14:paraId="69047360" w14:textId="0BB1C0A7" w:rsidR="00ED3946" w:rsidRPr="00147224" w:rsidRDefault="00ED3946" w:rsidP="00DC0628">
            <w:pPr>
              <w:pStyle w:val="Prrafodelista"/>
              <w:numPr>
                <w:ilvl w:val="0"/>
                <w:numId w:val="5"/>
              </w:numPr>
              <w:spacing w:before="120" w:after="120" w:line="276" w:lineRule="auto"/>
              <w:ind w:left="360"/>
              <w:jc w:val="both"/>
            </w:pPr>
            <w:r>
              <w:t>“Mediante técnicas, el investigador adquiere control efectivo sobre su objeto</w:t>
            </w:r>
            <w:r w:rsidR="00A564C1">
              <w:t xml:space="preserve">, y puede fantasear con el dominio cognitivo cuando menos. No sólo conoce </w:t>
            </w:r>
            <w:r w:rsidR="0047022F">
              <w:t>a la sociedad, sino que cree saber también cómo conocerla</w:t>
            </w:r>
            <w:r>
              <w:t>”</w:t>
            </w:r>
            <w:r w:rsidR="0047022F">
              <w:t xml:space="preserve"> (Canales, 2006, </w:t>
            </w:r>
            <w:r w:rsidR="00497691">
              <w:t>p. 28</w:t>
            </w:r>
            <w:r w:rsidR="0047022F">
              <w:t>)</w:t>
            </w:r>
            <w:r w:rsidR="00497691">
              <w:t>.</w:t>
            </w:r>
          </w:p>
        </w:tc>
      </w:tr>
    </w:tbl>
    <w:p w14:paraId="3EF70DF0" w14:textId="09217E1F" w:rsidR="00415ACC" w:rsidRPr="00C62728" w:rsidRDefault="00415ACC" w:rsidP="00C62728">
      <w:pPr>
        <w:jc w:val="both"/>
        <w:rPr>
          <w:b/>
          <w:bCs/>
        </w:rPr>
      </w:pPr>
    </w:p>
    <w:sectPr w:rsidR="00415ACC" w:rsidRPr="00C62728" w:rsidSect="00EB4E85">
      <w:head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9:18:00Z" w:initials="CD">
    <w:p w14:paraId="7E1FA7DB" w14:textId="48139E7A" w:rsidR="000562CE" w:rsidRDefault="000562CE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1FA7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0CC9" w16cex:dateUtc="2021-11-10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1FA7DB" w16cid:durableId="25360C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B6AE" w14:textId="77777777" w:rsidR="001F53BE" w:rsidRDefault="001F53BE" w:rsidP="00EB4E85">
      <w:r>
        <w:separator/>
      </w:r>
    </w:p>
  </w:endnote>
  <w:endnote w:type="continuationSeparator" w:id="0">
    <w:p w14:paraId="3C8BD55B" w14:textId="77777777" w:rsidR="001F53BE" w:rsidRDefault="001F53BE" w:rsidP="00EB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B28B" w14:textId="77777777" w:rsidR="001F53BE" w:rsidRDefault="001F53BE" w:rsidP="00EB4E85">
      <w:r>
        <w:separator/>
      </w:r>
    </w:p>
  </w:footnote>
  <w:footnote w:type="continuationSeparator" w:id="0">
    <w:p w14:paraId="6E02F793" w14:textId="77777777" w:rsidR="001F53BE" w:rsidRDefault="001F53BE" w:rsidP="00EB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AC090" w14:textId="3FA9768D" w:rsidR="00EB4E85" w:rsidRDefault="00EB4E85" w:rsidP="00EB4E85">
    <w:pPr>
      <w:pStyle w:val="Encabezado"/>
      <w:jc w:val="right"/>
    </w:pPr>
    <w:r>
      <w:t>Angela Valeria Medina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44B9B"/>
    <w:multiLevelType w:val="hybridMultilevel"/>
    <w:tmpl w:val="C154453C"/>
    <w:lvl w:ilvl="0" w:tplc="CAFE17FA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D39FD"/>
    <w:multiLevelType w:val="hybridMultilevel"/>
    <w:tmpl w:val="A04C0426"/>
    <w:lvl w:ilvl="0" w:tplc="CAFE17FA">
      <w:start w:val="1"/>
      <w:numFmt w:val="bullet"/>
      <w:lvlText w:val=""/>
      <w:lvlJc w:val="left"/>
      <w:pPr>
        <w:ind w:left="723" w:hanging="36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F52B0A"/>
    <w:multiLevelType w:val="multilevel"/>
    <w:tmpl w:val="B6348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0BE603A"/>
    <w:multiLevelType w:val="hybridMultilevel"/>
    <w:tmpl w:val="49080BAE"/>
    <w:lvl w:ilvl="0" w:tplc="CAFE17F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122AE"/>
    <w:multiLevelType w:val="multilevel"/>
    <w:tmpl w:val="970AF38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85"/>
    <w:rsid w:val="00001E60"/>
    <w:rsid w:val="000075EF"/>
    <w:rsid w:val="00013283"/>
    <w:rsid w:val="00017988"/>
    <w:rsid w:val="0001799B"/>
    <w:rsid w:val="0002032B"/>
    <w:rsid w:val="00021313"/>
    <w:rsid w:val="00031F28"/>
    <w:rsid w:val="000419F5"/>
    <w:rsid w:val="00044BD6"/>
    <w:rsid w:val="00045690"/>
    <w:rsid w:val="00050DCD"/>
    <w:rsid w:val="00053A80"/>
    <w:rsid w:val="00055D50"/>
    <w:rsid w:val="000562CE"/>
    <w:rsid w:val="00063A1A"/>
    <w:rsid w:val="00073A4B"/>
    <w:rsid w:val="0008104D"/>
    <w:rsid w:val="000837E3"/>
    <w:rsid w:val="00084AA3"/>
    <w:rsid w:val="00087D65"/>
    <w:rsid w:val="000975D3"/>
    <w:rsid w:val="000C3BCC"/>
    <w:rsid w:val="000C7D91"/>
    <w:rsid w:val="000C7DBB"/>
    <w:rsid w:val="001010C0"/>
    <w:rsid w:val="00101CB2"/>
    <w:rsid w:val="00120E85"/>
    <w:rsid w:val="00122D0B"/>
    <w:rsid w:val="00127107"/>
    <w:rsid w:val="00131E54"/>
    <w:rsid w:val="00142185"/>
    <w:rsid w:val="00147224"/>
    <w:rsid w:val="00157F26"/>
    <w:rsid w:val="00160DED"/>
    <w:rsid w:val="001647EA"/>
    <w:rsid w:val="001A5A5C"/>
    <w:rsid w:val="001B690E"/>
    <w:rsid w:val="001C3122"/>
    <w:rsid w:val="001C57C7"/>
    <w:rsid w:val="001D03E5"/>
    <w:rsid w:val="001E16D1"/>
    <w:rsid w:val="001E53F6"/>
    <w:rsid w:val="001E7E8F"/>
    <w:rsid w:val="001F53BE"/>
    <w:rsid w:val="00203650"/>
    <w:rsid w:val="00216ADB"/>
    <w:rsid w:val="00221798"/>
    <w:rsid w:val="002229A5"/>
    <w:rsid w:val="00230351"/>
    <w:rsid w:val="00246349"/>
    <w:rsid w:val="00251BD8"/>
    <w:rsid w:val="0027050C"/>
    <w:rsid w:val="002723A9"/>
    <w:rsid w:val="002742D3"/>
    <w:rsid w:val="00281DAC"/>
    <w:rsid w:val="002A2B9A"/>
    <w:rsid w:val="002A7913"/>
    <w:rsid w:val="002C15B5"/>
    <w:rsid w:val="002C4F50"/>
    <w:rsid w:val="002D5E5B"/>
    <w:rsid w:val="002F33E2"/>
    <w:rsid w:val="00302681"/>
    <w:rsid w:val="00311DBA"/>
    <w:rsid w:val="003126C9"/>
    <w:rsid w:val="00314995"/>
    <w:rsid w:val="003278E7"/>
    <w:rsid w:val="00360DCE"/>
    <w:rsid w:val="00365630"/>
    <w:rsid w:val="00373306"/>
    <w:rsid w:val="00373E2C"/>
    <w:rsid w:val="003744F9"/>
    <w:rsid w:val="00383F40"/>
    <w:rsid w:val="0038523E"/>
    <w:rsid w:val="0039692A"/>
    <w:rsid w:val="003D7270"/>
    <w:rsid w:val="003E321A"/>
    <w:rsid w:val="0040194F"/>
    <w:rsid w:val="0040535A"/>
    <w:rsid w:val="00415ACC"/>
    <w:rsid w:val="0042218F"/>
    <w:rsid w:val="00422367"/>
    <w:rsid w:val="00453FBA"/>
    <w:rsid w:val="00457340"/>
    <w:rsid w:val="00460CED"/>
    <w:rsid w:val="004674ED"/>
    <w:rsid w:val="0047022F"/>
    <w:rsid w:val="00471003"/>
    <w:rsid w:val="00471274"/>
    <w:rsid w:val="00472E55"/>
    <w:rsid w:val="00493F9C"/>
    <w:rsid w:val="004945EB"/>
    <w:rsid w:val="00497691"/>
    <w:rsid w:val="004C382B"/>
    <w:rsid w:val="004E0D43"/>
    <w:rsid w:val="004F5BA3"/>
    <w:rsid w:val="004F7AEB"/>
    <w:rsid w:val="0050025D"/>
    <w:rsid w:val="00500E00"/>
    <w:rsid w:val="00502089"/>
    <w:rsid w:val="0050773D"/>
    <w:rsid w:val="00541ECD"/>
    <w:rsid w:val="00562D19"/>
    <w:rsid w:val="00567556"/>
    <w:rsid w:val="005726A9"/>
    <w:rsid w:val="005755DB"/>
    <w:rsid w:val="0057582A"/>
    <w:rsid w:val="00576757"/>
    <w:rsid w:val="0058569B"/>
    <w:rsid w:val="005A3EE4"/>
    <w:rsid w:val="005A78B6"/>
    <w:rsid w:val="005C3C3B"/>
    <w:rsid w:val="005C4509"/>
    <w:rsid w:val="005E582F"/>
    <w:rsid w:val="005E7F0E"/>
    <w:rsid w:val="005F62F9"/>
    <w:rsid w:val="00621447"/>
    <w:rsid w:val="0062270F"/>
    <w:rsid w:val="006356E1"/>
    <w:rsid w:val="00645355"/>
    <w:rsid w:val="00647092"/>
    <w:rsid w:val="00647800"/>
    <w:rsid w:val="00650A6B"/>
    <w:rsid w:val="0065683D"/>
    <w:rsid w:val="0068555D"/>
    <w:rsid w:val="00690896"/>
    <w:rsid w:val="0069606F"/>
    <w:rsid w:val="006963FA"/>
    <w:rsid w:val="006A410A"/>
    <w:rsid w:val="006C0BEA"/>
    <w:rsid w:val="006C4DAE"/>
    <w:rsid w:val="006D16D9"/>
    <w:rsid w:val="006D3B9A"/>
    <w:rsid w:val="007045FF"/>
    <w:rsid w:val="00714296"/>
    <w:rsid w:val="00722753"/>
    <w:rsid w:val="00734878"/>
    <w:rsid w:val="00736E5B"/>
    <w:rsid w:val="00737E4D"/>
    <w:rsid w:val="0074483D"/>
    <w:rsid w:val="00752A7B"/>
    <w:rsid w:val="0075676A"/>
    <w:rsid w:val="007654D9"/>
    <w:rsid w:val="00787537"/>
    <w:rsid w:val="007911A1"/>
    <w:rsid w:val="007939E9"/>
    <w:rsid w:val="007A6559"/>
    <w:rsid w:val="007B493B"/>
    <w:rsid w:val="007B5850"/>
    <w:rsid w:val="007C2D98"/>
    <w:rsid w:val="007D4793"/>
    <w:rsid w:val="008429BB"/>
    <w:rsid w:val="008479BE"/>
    <w:rsid w:val="00863F17"/>
    <w:rsid w:val="00887B5A"/>
    <w:rsid w:val="00887F92"/>
    <w:rsid w:val="008A0687"/>
    <w:rsid w:val="008A6FB2"/>
    <w:rsid w:val="008C792F"/>
    <w:rsid w:val="008E4D34"/>
    <w:rsid w:val="008F450E"/>
    <w:rsid w:val="008F4C97"/>
    <w:rsid w:val="008F62AD"/>
    <w:rsid w:val="009001DF"/>
    <w:rsid w:val="00917964"/>
    <w:rsid w:val="009209B7"/>
    <w:rsid w:val="00921775"/>
    <w:rsid w:val="0093493F"/>
    <w:rsid w:val="00941FD2"/>
    <w:rsid w:val="00947D53"/>
    <w:rsid w:val="00947FB4"/>
    <w:rsid w:val="00984AC1"/>
    <w:rsid w:val="009961E4"/>
    <w:rsid w:val="009B146A"/>
    <w:rsid w:val="009B6D3C"/>
    <w:rsid w:val="009C5BCB"/>
    <w:rsid w:val="009D02AC"/>
    <w:rsid w:val="00A030F5"/>
    <w:rsid w:val="00A036FC"/>
    <w:rsid w:val="00A22C60"/>
    <w:rsid w:val="00A41B68"/>
    <w:rsid w:val="00A4461E"/>
    <w:rsid w:val="00A564C1"/>
    <w:rsid w:val="00A57452"/>
    <w:rsid w:val="00A90F45"/>
    <w:rsid w:val="00A92A2A"/>
    <w:rsid w:val="00A93C4C"/>
    <w:rsid w:val="00AC2248"/>
    <w:rsid w:val="00B13B9B"/>
    <w:rsid w:val="00B14F49"/>
    <w:rsid w:val="00B206BC"/>
    <w:rsid w:val="00B27358"/>
    <w:rsid w:val="00B34397"/>
    <w:rsid w:val="00B369E0"/>
    <w:rsid w:val="00B64EDA"/>
    <w:rsid w:val="00B701D1"/>
    <w:rsid w:val="00B74230"/>
    <w:rsid w:val="00B76427"/>
    <w:rsid w:val="00B81750"/>
    <w:rsid w:val="00B85331"/>
    <w:rsid w:val="00BB0F24"/>
    <w:rsid w:val="00BB3CAE"/>
    <w:rsid w:val="00BB6425"/>
    <w:rsid w:val="00BC6F93"/>
    <w:rsid w:val="00BD2605"/>
    <w:rsid w:val="00BE043D"/>
    <w:rsid w:val="00BE1786"/>
    <w:rsid w:val="00C10DBA"/>
    <w:rsid w:val="00C22EDB"/>
    <w:rsid w:val="00C44AE1"/>
    <w:rsid w:val="00C520A9"/>
    <w:rsid w:val="00C62728"/>
    <w:rsid w:val="00C71DEF"/>
    <w:rsid w:val="00C742AA"/>
    <w:rsid w:val="00C77920"/>
    <w:rsid w:val="00C91BFA"/>
    <w:rsid w:val="00C92A4C"/>
    <w:rsid w:val="00CA7AD7"/>
    <w:rsid w:val="00CA7D39"/>
    <w:rsid w:val="00CC2A1E"/>
    <w:rsid w:val="00CD1862"/>
    <w:rsid w:val="00CD2857"/>
    <w:rsid w:val="00CE444E"/>
    <w:rsid w:val="00CF521F"/>
    <w:rsid w:val="00CF68FE"/>
    <w:rsid w:val="00D06EA0"/>
    <w:rsid w:val="00D11CD5"/>
    <w:rsid w:val="00D14FDA"/>
    <w:rsid w:val="00D1665B"/>
    <w:rsid w:val="00D2518C"/>
    <w:rsid w:val="00D356D0"/>
    <w:rsid w:val="00D35C12"/>
    <w:rsid w:val="00D579B3"/>
    <w:rsid w:val="00D76E2A"/>
    <w:rsid w:val="00D9136A"/>
    <w:rsid w:val="00D96687"/>
    <w:rsid w:val="00D96FA3"/>
    <w:rsid w:val="00DC0628"/>
    <w:rsid w:val="00DC40CA"/>
    <w:rsid w:val="00DE4C30"/>
    <w:rsid w:val="00E045D0"/>
    <w:rsid w:val="00E05925"/>
    <w:rsid w:val="00E14487"/>
    <w:rsid w:val="00E16D6F"/>
    <w:rsid w:val="00E31EA3"/>
    <w:rsid w:val="00E42C12"/>
    <w:rsid w:val="00E71A4A"/>
    <w:rsid w:val="00E74B67"/>
    <w:rsid w:val="00E80E38"/>
    <w:rsid w:val="00E851A6"/>
    <w:rsid w:val="00E86983"/>
    <w:rsid w:val="00EA3E7C"/>
    <w:rsid w:val="00EB4E85"/>
    <w:rsid w:val="00ED1F30"/>
    <w:rsid w:val="00ED3946"/>
    <w:rsid w:val="00EE0BB4"/>
    <w:rsid w:val="00EF5C4A"/>
    <w:rsid w:val="00F12A19"/>
    <w:rsid w:val="00F26963"/>
    <w:rsid w:val="00F33A3A"/>
    <w:rsid w:val="00F36C7F"/>
    <w:rsid w:val="00F52395"/>
    <w:rsid w:val="00F56FCA"/>
    <w:rsid w:val="00F65F66"/>
    <w:rsid w:val="00F70F58"/>
    <w:rsid w:val="00F73E3E"/>
    <w:rsid w:val="00FC4BF8"/>
    <w:rsid w:val="00FE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E8580"/>
  <w15:chartTrackingRefBased/>
  <w15:docId w15:val="{7D07066B-4417-9E49-B995-17378A17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>
      <w:pPr>
        <w:spacing w:after="120"/>
        <w:ind w:left="71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A1A"/>
    <w:pPr>
      <w:spacing w:after="0"/>
      <w:ind w:left="0"/>
      <w:jc w:val="left"/>
    </w:pPr>
    <w:rPr>
      <w:rFonts w:ascii="Times New Roman" w:hAnsi="Times New Roman"/>
      <w:szCs w:val="22"/>
      <w:lang w:val="es-C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C7DBB"/>
    <w:pPr>
      <w:keepNext/>
      <w:keepLines/>
      <w:spacing w:before="480" w:after="240"/>
      <w:contextualSpacing/>
      <w:jc w:val="center"/>
      <w:outlineLvl w:val="0"/>
    </w:pPr>
    <w:rPr>
      <w:rFonts w:eastAsiaTheme="majorEastAsia" w:cs="Times New Roman"/>
      <w:b/>
      <w:color w:val="000000" w:themeColor="text1"/>
      <w:szCs w:val="24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4483D"/>
    <w:pPr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autoRedefine/>
    <w:uiPriority w:val="10"/>
    <w:qFormat/>
    <w:rsid w:val="00457340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57340"/>
    <w:rPr>
      <w:rFonts w:ascii="Times New Roman" w:eastAsiaTheme="majorEastAsia" w:hAnsi="Times New Roman" w:cstheme="majorBidi"/>
      <w:b/>
      <w:spacing w:val="-10"/>
      <w:kern w:val="28"/>
      <w:szCs w:val="56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0C7DBB"/>
    <w:rPr>
      <w:rFonts w:ascii="Times New Roman" w:eastAsiaTheme="majorEastAsia" w:hAnsi="Times New Roman" w:cs="Times New Roman"/>
      <w:b/>
      <w:color w:val="000000" w:themeColor="text1"/>
      <w:lang w:val="es-CL"/>
    </w:rPr>
  </w:style>
  <w:style w:type="character" w:customStyle="1" w:styleId="Ttulo2Car">
    <w:name w:val="Título 2 Car"/>
    <w:basedOn w:val="Fuentedeprrafopredeter"/>
    <w:link w:val="Ttulo2"/>
    <w:uiPriority w:val="9"/>
    <w:rsid w:val="0074483D"/>
    <w:rPr>
      <w:rFonts w:ascii="Times New Roman" w:hAnsi="Times New Roman"/>
      <w:b/>
      <w:bCs/>
      <w:szCs w:val="22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EB4E8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4E85"/>
    <w:rPr>
      <w:rFonts w:ascii="Times New Roman" w:hAnsi="Times New Roman"/>
      <w:szCs w:val="22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EB4E8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4E85"/>
    <w:rPr>
      <w:rFonts w:ascii="Times New Roman" w:hAnsi="Times New Roman"/>
      <w:szCs w:val="22"/>
      <w:lang w:val="es-CL"/>
    </w:rPr>
  </w:style>
  <w:style w:type="table" w:styleId="Tablaconcuadrcula">
    <w:name w:val="Table Grid"/>
    <w:basedOn w:val="Tablanormal"/>
    <w:uiPriority w:val="39"/>
    <w:rsid w:val="00EB4E8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0C7DBB"/>
    <w:pPr>
      <w:widowControl w:val="0"/>
      <w:autoSpaceDE w:val="0"/>
      <w:autoSpaceDN w:val="0"/>
    </w:pPr>
    <w:rPr>
      <w:rFonts w:ascii="Calibri" w:eastAsia="Calibri" w:hAnsi="Calibri" w:cs="Calibri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7DBB"/>
    <w:rPr>
      <w:rFonts w:ascii="Calibri" w:eastAsia="Calibri" w:hAnsi="Calibri" w:cs="Calibri"/>
      <w:lang w:val="es-ES"/>
    </w:rPr>
  </w:style>
  <w:style w:type="paragraph" w:styleId="Bibliografa">
    <w:name w:val="Bibliography"/>
    <w:basedOn w:val="Normal"/>
    <w:next w:val="Normal"/>
    <w:uiPriority w:val="37"/>
    <w:unhideWhenUsed/>
    <w:rsid w:val="000C7DBB"/>
  </w:style>
  <w:style w:type="paragraph" w:styleId="Prrafodelista">
    <w:name w:val="List Paragraph"/>
    <w:basedOn w:val="Normal"/>
    <w:uiPriority w:val="34"/>
    <w:qFormat/>
    <w:rsid w:val="001E7E8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562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62C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62CE"/>
    <w:rPr>
      <w:rFonts w:ascii="Times New Roman" w:hAnsi="Times New Roman"/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62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62CE"/>
    <w:rPr>
      <w:rFonts w:ascii="Times New Roman" w:hAnsi="Times New Roman"/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Can06</b:Tag>
    <b:SourceType>BookSection</b:SourceType>
    <b:Guid>{205E97B4-0484-0446-BF21-F48C66DC4A46}</b:Guid>
    <b:Author>
      <b:Author>
        <b:NameList>
          <b:Person>
            <b:Last>Canales</b:Last>
            <b:First>Manuel</b:First>
          </b:Person>
        </b:NameList>
      </b:Author>
      <b:Editor>
        <b:NameList>
          <b:Person>
            <b:Last>Canales</b:Last>
            <b:First>Manuel</b:First>
          </b:Person>
        </b:NameList>
      </b:Editor>
    </b:Author>
    <b:Title>Presentación</b:Title>
    <b:BookTitle>Metodologías de investigación social. Introducción a los oficios</b:BookTitle>
    <b:Publisher>LOM</b:Publisher>
    <b:Year>2006</b:Year>
    <b:Pages>11-30</b:Pages>
    <b:RefOrder>1</b:RefOrder>
  </b:Source>
</b:Sources>
</file>

<file path=customXml/itemProps1.xml><?xml version="1.0" encoding="utf-8"?>
<ds:datastoreItem xmlns:ds="http://schemas.openxmlformats.org/officeDocument/2006/customXml" ds:itemID="{5037C0BD-7281-694E-BC0F-131ABDC0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Valeria Medina</dc:creator>
  <cp:keywords/>
  <dc:description/>
  <cp:lastModifiedBy>CLAUDIO DUARTE</cp:lastModifiedBy>
  <cp:revision>2</cp:revision>
  <dcterms:created xsi:type="dcterms:W3CDTF">2021-11-10T12:19:00Z</dcterms:created>
  <dcterms:modified xsi:type="dcterms:W3CDTF">2021-11-10T12:19:00Z</dcterms:modified>
</cp:coreProperties>
</file>